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RPr="0059283D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59283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Theme="minorHAnsi" w:hAnsiTheme="minorHAnsi" w:cstheme="minorHAnsi"/>
                <w:b/>
                <w:bCs/>
                <w:spacing w:val="1"/>
                <w:w w:val="53"/>
                <w:sz w:val="17"/>
                <w:szCs w:val="17"/>
              </w:rPr>
            </w:pPr>
            <w:r w:rsidRPr="0059283D">
              <w:rPr>
                <w:rFonts w:asciiTheme="minorHAnsi" w:hAnsiTheme="minorHAnsi" w:cstheme="minorHAnsi"/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59283D" w:rsidRDefault="00F643DD" w:rsidP="00EC0CDD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UNIVERSITAS MEDAN AREA</w:t>
            </w:r>
          </w:p>
          <w:p w:rsidR="00F643DD" w:rsidRPr="0059283D" w:rsidRDefault="00F643DD" w:rsidP="00EC0CDD">
            <w:pPr>
              <w:tabs>
                <w:tab w:val="left" w:pos="1168"/>
              </w:tabs>
              <w:spacing w:after="0" w:line="288" w:lineRule="auto"/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FAKULTAS              </w:t>
            </w:r>
            <w:r w:rsidR="006D6508" w:rsidRPr="005928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: </w:t>
            </w:r>
            <w:r w:rsidR="006D6508" w:rsidRPr="0059283D"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  <w:t>EKONOMI DAN BISNIS</w:t>
            </w:r>
          </w:p>
          <w:p w:rsidR="00F643DD" w:rsidRPr="0059283D" w:rsidRDefault="005D2205" w:rsidP="005D220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PROGRAM STUDI    : </w:t>
            </w:r>
            <w:r w:rsidR="006D6508" w:rsidRPr="0059283D">
              <w:rPr>
                <w:rFonts w:asciiTheme="minorHAnsi" w:hAnsiTheme="minorHAnsi" w:cstheme="minorHAnsi"/>
                <w:b/>
                <w:sz w:val="28"/>
                <w:szCs w:val="28"/>
                <w:lang w:val="id-ID"/>
              </w:rPr>
              <w:t>AKUNTANSI</w:t>
            </w:r>
          </w:p>
        </w:tc>
      </w:tr>
      <w:tr w:rsidR="00876328" w:rsidRPr="0059283D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RPr="0059283D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59283D" w:rsidRDefault="00F643DD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28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RPr="0059283D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56242" w:rsidRDefault="006D6508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lang w:val="id-ID"/>
              </w:rPr>
            </w:pPr>
            <w:r w:rsidRPr="00E56242">
              <w:rPr>
                <w:rFonts w:asciiTheme="minorHAnsi" w:hAnsiTheme="minorHAnsi" w:cstheme="minorHAnsi"/>
                <w:bCs/>
                <w:lang w:val="id-ID"/>
              </w:rPr>
              <w:t>Analisa Laporan Keuangan</w:t>
            </w:r>
          </w:p>
        </w:tc>
        <w:tc>
          <w:tcPr>
            <w:tcW w:w="1549" w:type="dxa"/>
            <w:shd w:val="clear" w:color="auto" w:fill="FFFFFF"/>
          </w:tcPr>
          <w:p w:rsidR="00F643DD" w:rsidRPr="00E56242" w:rsidRDefault="006D6508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lang w:val="id-ID"/>
              </w:rPr>
            </w:pPr>
            <w:r w:rsidRPr="00E56242">
              <w:rPr>
                <w:rFonts w:asciiTheme="minorHAnsi" w:hAnsiTheme="minorHAnsi" w:cstheme="minorHAnsi"/>
              </w:rPr>
              <w:t>AKT31015</w:t>
            </w:r>
          </w:p>
        </w:tc>
        <w:tc>
          <w:tcPr>
            <w:tcW w:w="1853" w:type="dxa"/>
            <w:shd w:val="clear" w:color="auto" w:fill="FFFFFF"/>
          </w:tcPr>
          <w:p w:rsidR="00F643DD" w:rsidRPr="00E56242" w:rsidRDefault="006D6508" w:rsidP="00EC0CDD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lang w:val="id-ID"/>
              </w:rPr>
            </w:pPr>
            <w:r w:rsidRPr="00E56242">
              <w:rPr>
                <w:rFonts w:asciiTheme="minorHAnsi" w:hAnsiTheme="minorHAnsi" w:cstheme="minorHAnsi"/>
                <w:bCs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643DD" w:rsidRPr="00E56242" w:rsidRDefault="005D2205" w:rsidP="00D44095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  <w:lang w:val="id-ID"/>
              </w:rPr>
            </w:pPr>
            <w:r w:rsidRPr="00E56242">
              <w:rPr>
                <w:rFonts w:asciiTheme="minorHAnsi" w:hAnsiTheme="minorHAnsi" w:cstheme="minorHAnsi"/>
                <w:bCs/>
              </w:rPr>
              <w:t>V</w:t>
            </w:r>
            <w:r w:rsidR="006D6508" w:rsidRPr="00E56242">
              <w:rPr>
                <w:rFonts w:asciiTheme="minorHAnsi" w:hAnsiTheme="minorHAnsi" w:cstheme="minorHAnsi"/>
                <w:bCs/>
                <w:lang w:val="id-ID"/>
              </w:rPr>
              <w:t xml:space="preserve"> (Ganjil)</w:t>
            </w:r>
          </w:p>
        </w:tc>
        <w:tc>
          <w:tcPr>
            <w:tcW w:w="2126" w:type="dxa"/>
            <w:shd w:val="clear" w:color="auto" w:fill="FFFFFF"/>
          </w:tcPr>
          <w:p w:rsidR="00F643DD" w:rsidRPr="00E56242" w:rsidRDefault="006D6508" w:rsidP="00305507">
            <w:pPr>
              <w:spacing w:after="0" w:line="288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56242">
              <w:rPr>
                <w:rFonts w:asciiTheme="minorHAnsi" w:hAnsiTheme="minorHAnsi" w:cstheme="minorHAnsi"/>
                <w:noProof/>
              </w:rPr>
              <w:t>20 September 2018</w:t>
            </w:r>
          </w:p>
        </w:tc>
      </w:tr>
      <w:tr w:rsidR="00876328" w:rsidRPr="0059283D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59283D" w:rsidRDefault="00F643DD" w:rsidP="005D2205">
            <w:pPr>
              <w:spacing w:after="0" w:line="288" w:lineRule="auto"/>
              <w:rPr>
                <w:rFonts w:asciiTheme="minorHAnsi" w:hAnsiTheme="minorHAnsi" w:cstheme="minorHAnsi"/>
                <w:b/>
                <w:bCs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  <w:bCs/>
              </w:rPr>
              <w:t>DOSEN PENGAMPU :</w:t>
            </w:r>
            <w:r w:rsidR="006D6508" w:rsidRPr="0059283D">
              <w:rPr>
                <w:rFonts w:asciiTheme="minorHAnsi" w:hAnsiTheme="minorHAnsi" w:cstheme="minorHAnsi"/>
                <w:b/>
                <w:bCs/>
                <w:lang w:val="id-ID"/>
              </w:rPr>
              <w:t xml:space="preserve"> Hasbiana Dalimunthe SE.M.Ak</w:t>
            </w:r>
          </w:p>
        </w:tc>
      </w:tr>
    </w:tbl>
    <w:p w:rsidR="00F643DD" w:rsidRPr="0059283D" w:rsidRDefault="00F643DD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RPr="0059283D" w:rsidTr="00EC0CDD">
        <w:tc>
          <w:tcPr>
            <w:tcW w:w="9889" w:type="dxa"/>
            <w:shd w:val="clear" w:color="auto" w:fill="A6A6A6"/>
          </w:tcPr>
          <w:p w:rsidR="00F643DD" w:rsidRPr="0059283D" w:rsidRDefault="00F643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DESKRIPSI  MATAKULIAH</w:t>
            </w:r>
          </w:p>
        </w:tc>
      </w:tr>
      <w:tr w:rsidR="006D6508" w:rsidRPr="0059283D" w:rsidTr="00EC0CDD">
        <w:tc>
          <w:tcPr>
            <w:tcW w:w="9889" w:type="dxa"/>
            <w:shd w:val="clear" w:color="auto" w:fill="auto"/>
          </w:tcPr>
          <w:p w:rsidR="006D6508" w:rsidRPr="0059283D" w:rsidRDefault="006D6508" w:rsidP="008F5E7C">
            <w:pPr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59283D">
              <w:rPr>
                <w:rFonts w:asciiTheme="minorHAnsi" w:hAnsiTheme="minorHAnsi" w:cstheme="minorHAnsi"/>
                <w:noProof/>
              </w:rPr>
              <w:t>Mata kuliah ini menekankan cara menganalisis aktivitas usaha dalam perencanaan, pendanaan, investasi dan operasional yang tertuang dalam laporan keuangan perusahaan dengan menggunakan alat dan teknik analisis laporan keuangan yang relevan.</w:t>
            </w:r>
          </w:p>
        </w:tc>
      </w:tr>
    </w:tbl>
    <w:p w:rsidR="00EC0CDD" w:rsidRPr="0059283D" w:rsidRDefault="00EC0CDD" w:rsidP="00EC0CDD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RPr="0059283D" w:rsidTr="00EC0CDD">
        <w:tc>
          <w:tcPr>
            <w:tcW w:w="9889" w:type="dxa"/>
            <w:shd w:val="clear" w:color="auto" w:fill="A6A6A6"/>
          </w:tcPr>
          <w:p w:rsidR="00EC0CDD" w:rsidRPr="0059283D" w:rsidRDefault="00EC0C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CAPAIAN PEMBELAJARAN LULUSAN (CPL) PRODI</w:t>
            </w:r>
          </w:p>
        </w:tc>
      </w:tr>
      <w:tr w:rsidR="008F5E7C" w:rsidRPr="0059283D" w:rsidTr="00EC0CDD">
        <w:tc>
          <w:tcPr>
            <w:tcW w:w="9889" w:type="dxa"/>
            <w:shd w:val="clear" w:color="auto" w:fill="auto"/>
          </w:tcPr>
          <w:p w:rsidR="008F5E7C" w:rsidRPr="0059283D" w:rsidRDefault="008F5E7C" w:rsidP="008F5E7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Menunjukkan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sikap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bertanggung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jawab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atas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pekerjaan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bidang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keahliannya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mandiri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(S9)</w:t>
            </w:r>
          </w:p>
          <w:p w:rsidR="008F5E7C" w:rsidRPr="0059283D" w:rsidRDefault="008F5E7C" w:rsidP="008F5E7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Mampu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mengkaji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implikasi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atau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implementasi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ilmu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pengetahuan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teknologi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memperhatikan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menerapkan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nilai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humaniora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sesuai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dengan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keahliannya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kaidah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tata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etika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ilmiah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dalam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rangka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menghasilkan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solusi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9283D">
              <w:rPr>
                <w:rFonts w:asciiTheme="minorHAnsi" w:hAnsiTheme="minorHAnsi" w:cstheme="minorHAnsi"/>
              </w:rPr>
              <w:t>gagasan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desain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atau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kritik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seni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(KU3)</w:t>
            </w:r>
          </w:p>
          <w:p w:rsidR="008F5E7C" w:rsidRPr="0059283D" w:rsidRDefault="008F5E7C" w:rsidP="008F5E7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Mampu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mengambil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keputusan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tepat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dalam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konteks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masalah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bidang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keahliannya,berdasarkan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hasil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analisis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informasi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data (KU5)</w:t>
            </w:r>
          </w:p>
          <w:p w:rsidR="008F5E7C" w:rsidRPr="0059283D" w:rsidRDefault="008F5E7C" w:rsidP="008F5E7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Mampu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berfikir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kritis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sistematis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dalam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menyelesaikan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masalah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–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masalah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mengambil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keputusan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tepat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serta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berkomunikasi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efektif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akademis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etis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(KK3)</w:t>
            </w:r>
          </w:p>
          <w:p w:rsidR="008F5E7C" w:rsidRPr="0059283D" w:rsidRDefault="008F5E7C" w:rsidP="008F5E7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Menguasai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konsep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teoritis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bidang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pengetahuan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akuntansi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umum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konsep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teoritis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bagian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akademisi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dalam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bidang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pengetahuan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tersebut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mendalam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serta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mampu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memformulasikan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masalah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prosedural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(PP2)</w:t>
            </w:r>
          </w:p>
        </w:tc>
      </w:tr>
      <w:tr w:rsidR="00876328" w:rsidRPr="0059283D" w:rsidTr="00EC0CDD">
        <w:tc>
          <w:tcPr>
            <w:tcW w:w="9889" w:type="dxa"/>
            <w:shd w:val="clear" w:color="auto" w:fill="A6A6A6"/>
          </w:tcPr>
          <w:p w:rsidR="00EC0CDD" w:rsidRPr="0059283D" w:rsidRDefault="00EC0CDD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CAPAIAN PEMBELAJARAN MATAKULIAH (CPMK)</w:t>
            </w:r>
          </w:p>
        </w:tc>
      </w:tr>
      <w:tr w:rsidR="008F5E7C" w:rsidRPr="0059283D" w:rsidTr="00EC0CDD">
        <w:tc>
          <w:tcPr>
            <w:tcW w:w="9889" w:type="dxa"/>
            <w:shd w:val="clear" w:color="auto" w:fill="auto"/>
          </w:tcPr>
          <w:p w:rsidR="008F5E7C" w:rsidRPr="0059283D" w:rsidRDefault="008F5E7C" w:rsidP="008F5E7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noProof/>
                <w:lang w:eastAsia="id-ID"/>
              </w:rPr>
            </w:pPr>
            <w:r w:rsidRPr="0059283D">
              <w:rPr>
                <w:rFonts w:asciiTheme="minorHAnsi" w:hAnsiTheme="minorHAnsi" w:cstheme="minorHAnsi"/>
                <w:bCs/>
                <w:noProof/>
                <w:lang w:eastAsia="id-ID"/>
              </w:rPr>
              <w:t>1. M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ampu</w:t>
            </w:r>
            <w:proofErr w:type="spellEnd"/>
            <w:r w:rsidRPr="005928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menjelaskan</w:t>
            </w:r>
            <w:proofErr w:type="spellEnd"/>
            <w:r w:rsidRPr="005928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tinjauan</w:t>
            </w:r>
            <w:proofErr w:type="spellEnd"/>
            <w:r w:rsidRPr="005928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analisis</w:t>
            </w:r>
            <w:proofErr w:type="spellEnd"/>
            <w:r w:rsidRPr="005928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laporan</w:t>
            </w:r>
            <w:proofErr w:type="spellEnd"/>
            <w:r w:rsidRPr="0059283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Cs/>
              </w:rPr>
              <w:t>keuangan</w:t>
            </w:r>
            <w:proofErr w:type="spellEnd"/>
          </w:p>
          <w:p w:rsidR="008F5E7C" w:rsidRPr="0059283D" w:rsidRDefault="008F5E7C" w:rsidP="008F5E7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noProof/>
                <w:lang w:eastAsia="id-ID"/>
              </w:rPr>
            </w:pPr>
            <w:r w:rsidRPr="0059283D">
              <w:rPr>
                <w:rFonts w:asciiTheme="minorHAnsi" w:hAnsiTheme="minorHAnsi" w:cstheme="minorHAnsi"/>
                <w:bCs/>
                <w:noProof/>
                <w:lang w:eastAsia="id-ID"/>
              </w:rPr>
              <w:t>2. Mampu menjelaskan pelaporan dan analisis laporan keuangan</w:t>
            </w:r>
          </w:p>
          <w:p w:rsidR="008F5E7C" w:rsidRPr="0059283D" w:rsidRDefault="008F5E7C" w:rsidP="008F5E7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noProof/>
                <w:lang w:eastAsia="id-ID"/>
              </w:rPr>
            </w:pPr>
            <w:r w:rsidRPr="0059283D">
              <w:rPr>
                <w:rFonts w:asciiTheme="minorHAnsi" w:hAnsiTheme="minorHAnsi" w:cstheme="minorHAnsi"/>
                <w:bCs/>
                <w:noProof/>
                <w:lang w:eastAsia="id-ID"/>
              </w:rPr>
              <w:t>3. Mampu menganalisis aktivitas pendanaan</w:t>
            </w:r>
          </w:p>
          <w:p w:rsidR="008F5E7C" w:rsidRPr="0059283D" w:rsidRDefault="008F5E7C" w:rsidP="008F5E7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noProof/>
                <w:lang w:eastAsia="id-ID"/>
              </w:rPr>
            </w:pPr>
            <w:r w:rsidRPr="0059283D">
              <w:rPr>
                <w:rFonts w:asciiTheme="minorHAnsi" w:hAnsiTheme="minorHAnsi" w:cstheme="minorHAnsi"/>
                <w:bCs/>
                <w:noProof/>
                <w:lang w:eastAsia="id-ID"/>
              </w:rPr>
              <w:t xml:space="preserve">4. Mampu menganalisis aktivitas investasi </w:t>
            </w:r>
          </w:p>
          <w:p w:rsidR="008F5E7C" w:rsidRPr="0059283D" w:rsidRDefault="008F5E7C" w:rsidP="008F5E7C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noProof/>
                <w:lang w:eastAsia="id-ID"/>
              </w:rPr>
            </w:pPr>
            <w:r w:rsidRPr="0059283D">
              <w:rPr>
                <w:rFonts w:asciiTheme="minorHAnsi" w:hAnsiTheme="minorHAnsi" w:cstheme="minorHAnsi"/>
                <w:bCs/>
                <w:noProof/>
                <w:lang w:eastAsia="id-ID"/>
              </w:rPr>
              <w:t>5. Mampu menganalisis aktivitas investasi antar perusahaan</w:t>
            </w:r>
          </w:p>
        </w:tc>
      </w:tr>
    </w:tbl>
    <w:p w:rsidR="001A01CA" w:rsidRPr="0059283D" w:rsidRDefault="001A01CA">
      <w:pPr>
        <w:rPr>
          <w:rFonts w:asciiTheme="minorHAnsi" w:hAnsiTheme="minorHAnsi" w:cstheme="minorHAnsi"/>
          <w:lang w:val="id-ID"/>
        </w:rPr>
      </w:pPr>
    </w:p>
    <w:p w:rsidR="008F5E7C" w:rsidRPr="0059283D" w:rsidRDefault="008F5E7C">
      <w:pPr>
        <w:rPr>
          <w:rFonts w:asciiTheme="minorHAnsi" w:hAnsiTheme="minorHAnsi" w:cstheme="minorHAnsi"/>
          <w:lang w:val="id-ID"/>
        </w:rPr>
      </w:pPr>
    </w:p>
    <w:p w:rsidR="008F5E7C" w:rsidRPr="0059283D" w:rsidRDefault="008F5E7C">
      <w:pPr>
        <w:rPr>
          <w:rFonts w:asciiTheme="minorHAnsi" w:hAnsiTheme="minorHAnsi" w:cstheme="minorHAnsi"/>
          <w:lang w:val="id-ID"/>
        </w:rPr>
      </w:pPr>
    </w:p>
    <w:p w:rsidR="008F5E7C" w:rsidRPr="0059283D" w:rsidRDefault="008F5E7C">
      <w:pPr>
        <w:rPr>
          <w:rFonts w:asciiTheme="minorHAnsi" w:hAnsiTheme="minorHAnsi" w:cstheme="minorHAnsi"/>
          <w:lang w:val="id-ID"/>
        </w:rPr>
      </w:pPr>
    </w:p>
    <w:tbl>
      <w:tblPr>
        <w:tblW w:w="1078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7103"/>
        <w:gridCol w:w="2177"/>
      </w:tblGrid>
      <w:tr w:rsidR="00727AE7" w:rsidRPr="0059283D" w:rsidTr="009E24CD">
        <w:tc>
          <w:tcPr>
            <w:tcW w:w="10789" w:type="dxa"/>
            <w:gridSpan w:val="3"/>
            <w:shd w:val="clear" w:color="auto" w:fill="A6A6A6"/>
          </w:tcPr>
          <w:p w:rsidR="00727AE7" w:rsidRPr="0059283D" w:rsidRDefault="00727AE7" w:rsidP="00EC0CD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lastRenderedPageBreak/>
              <w:t>POKOK BAHASAN</w:t>
            </w:r>
          </w:p>
        </w:tc>
      </w:tr>
      <w:tr w:rsidR="00E81EB0" w:rsidRPr="0059283D" w:rsidTr="009E24CD">
        <w:tc>
          <w:tcPr>
            <w:tcW w:w="1509" w:type="dxa"/>
            <w:shd w:val="clear" w:color="auto" w:fill="auto"/>
          </w:tcPr>
          <w:p w:rsidR="009A1F64" w:rsidRPr="0059283D" w:rsidRDefault="00A2686D" w:rsidP="00A26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proofErr w:type="spellStart"/>
            <w:r w:rsidRPr="0059283D">
              <w:rPr>
                <w:rFonts w:asciiTheme="minorHAnsi" w:hAnsiTheme="minorHAnsi" w:cstheme="minorHAnsi"/>
                <w:b/>
              </w:rPr>
              <w:t>Pertemuan</w:t>
            </w:r>
            <w:proofErr w:type="spellEnd"/>
            <w:r w:rsidR="008F5E7C" w:rsidRPr="0059283D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proofErr w:type="spellStart"/>
            <w:r w:rsidR="009E24CD" w:rsidRPr="0059283D">
              <w:rPr>
                <w:rFonts w:asciiTheme="minorHAnsi" w:hAnsiTheme="minorHAnsi" w:cstheme="minorHAnsi"/>
                <w:b/>
              </w:rPr>
              <w:t>ke</w:t>
            </w:r>
            <w:proofErr w:type="spellEnd"/>
            <w:r w:rsidRPr="0059283D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="000B29D0" w:rsidRPr="0059283D">
              <w:rPr>
                <w:rFonts w:asciiTheme="minorHAnsi" w:hAnsiTheme="minorHAnsi" w:cstheme="minorHAnsi"/>
                <w:b/>
              </w:rPr>
              <w:t>T</w:t>
            </w:r>
            <w:r w:rsidR="009A1F64" w:rsidRPr="0059283D">
              <w:rPr>
                <w:rFonts w:asciiTheme="minorHAnsi" w:hAnsiTheme="minorHAnsi" w:cstheme="minorHAnsi"/>
                <w:b/>
              </w:rPr>
              <w:t>anggal</w:t>
            </w:r>
            <w:proofErr w:type="spellEnd"/>
          </w:p>
          <w:p w:rsidR="001A2A93" w:rsidRPr="0059283D" w:rsidRDefault="001A2A93" w:rsidP="00A26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  <w:lang w:val="id-ID"/>
              </w:rPr>
              <w:t>Thn 2018</w:t>
            </w:r>
          </w:p>
        </w:tc>
        <w:tc>
          <w:tcPr>
            <w:tcW w:w="7103" w:type="dxa"/>
            <w:shd w:val="clear" w:color="auto" w:fill="auto"/>
          </w:tcPr>
          <w:p w:rsidR="00E81EB0" w:rsidRPr="0059283D" w:rsidRDefault="009A1F64" w:rsidP="00E81E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9283D">
              <w:rPr>
                <w:rFonts w:asciiTheme="minorHAnsi" w:hAnsiTheme="minorHAnsi" w:cstheme="minorHAnsi"/>
                <w:b/>
              </w:rPr>
              <w:t>Meteri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9A1F64" w:rsidRPr="0059283D" w:rsidRDefault="001F5104" w:rsidP="001F51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9283D">
              <w:rPr>
                <w:rFonts w:asciiTheme="minorHAnsi" w:hAnsiTheme="minorHAnsi" w:cstheme="minorHAnsi"/>
                <w:b/>
              </w:rPr>
              <w:t>Daftar</w:t>
            </w:r>
            <w:proofErr w:type="spellEnd"/>
            <w:r w:rsidR="001D3F19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  <w:b/>
              </w:rPr>
              <w:t>Pustaka</w:t>
            </w:r>
            <w:proofErr w:type="spellEnd"/>
          </w:p>
        </w:tc>
      </w:tr>
      <w:tr w:rsidR="009E24CD" w:rsidRPr="0059283D" w:rsidTr="009E24CD">
        <w:tc>
          <w:tcPr>
            <w:tcW w:w="1509" w:type="dxa"/>
            <w:shd w:val="clear" w:color="auto" w:fill="auto"/>
          </w:tcPr>
          <w:p w:rsidR="009E24CD" w:rsidRPr="0059283D" w:rsidRDefault="009E24C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</w:rPr>
              <w:t>I</w:t>
            </w:r>
            <w:r w:rsidR="0059283D">
              <w:rPr>
                <w:rFonts w:asciiTheme="minorHAnsi" w:hAnsiTheme="minorHAnsi" w:cstheme="minorHAnsi"/>
                <w:b/>
                <w:lang w:val="id-ID"/>
              </w:rPr>
              <w:t xml:space="preserve"> &amp; II</w:t>
            </w:r>
          </w:p>
          <w:p w:rsidR="009E24CD" w:rsidRPr="0059283D" w:rsidRDefault="009E24C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59283D">
              <w:rPr>
                <w:rFonts w:asciiTheme="minorHAnsi" w:hAnsiTheme="minorHAnsi" w:cstheme="minorHAnsi"/>
                <w:lang w:val="id-ID"/>
              </w:rPr>
              <w:t>3</w:t>
            </w:r>
            <w:r w:rsidR="0059283D"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59283D">
              <w:rPr>
                <w:rFonts w:asciiTheme="minorHAnsi" w:hAnsiTheme="minorHAnsi" w:cstheme="minorHAnsi"/>
                <w:lang w:val="id-ID"/>
              </w:rPr>
              <w:t>September</w:t>
            </w:r>
          </w:p>
          <w:p w:rsidR="0059283D" w:rsidRP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59283D"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59283D" w:rsidRP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10</w:t>
            </w:r>
            <w:r w:rsidRPr="0059283D">
              <w:rPr>
                <w:rFonts w:asciiTheme="minorHAnsi" w:hAnsiTheme="minorHAnsi" w:cstheme="minorHAnsi"/>
                <w:lang w:val="id-ID"/>
              </w:rPr>
              <w:t xml:space="preserve"> September</w:t>
            </w:r>
          </w:p>
        </w:tc>
        <w:tc>
          <w:tcPr>
            <w:tcW w:w="7103" w:type="dxa"/>
            <w:shd w:val="clear" w:color="auto" w:fill="auto"/>
          </w:tcPr>
          <w:p w:rsidR="009E24CD" w:rsidRPr="0059283D" w:rsidRDefault="009E24CD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Analisis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bisnis</w:t>
            </w:r>
            <w:proofErr w:type="spellEnd"/>
            <w:r w:rsidRPr="0059283D">
              <w:rPr>
                <w:rFonts w:asciiTheme="minorHAnsi" w:hAnsiTheme="minorHAnsi" w:cstheme="minorHAnsi"/>
                <w:lang w:val="id-ID"/>
              </w:rPr>
              <w:t>, l</w:t>
            </w:r>
            <w:proofErr w:type="spellStart"/>
            <w:r w:rsidRPr="0059283D">
              <w:rPr>
                <w:rFonts w:asciiTheme="minorHAnsi" w:hAnsiTheme="minorHAnsi" w:cstheme="minorHAnsi"/>
              </w:rPr>
              <w:t>aporan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r w:rsidRPr="0059283D">
              <w:rPr>
                <w:rFonts w:asciiTheme="minorHAnsi" w:hAnsiTheme="minorHAnsi" w:cstheme="minorHAnsi"/>
                <w:lang w:val="id-ID"/>
              </w:rPr>
              <w:t>k</w:t>
            </w:r>
            <w:proofErr w:type="spellStart"/>
            <w:r w:rsidRPr="0059283D">
              <w:rPr>
                <w:rFonts w:asciiTheme="minorHAnsi" w:hAnsiTheme="minorHAnsi" w:cstheme="minorHAnsi"/>
              </w:rPr>
              <w:t>euangan</w:t>
            </w:r>
            <w:proofErr w:type="spellEnd"/>
            <w:r w:rsidRPr="0059283D">
              <w:rPr>
                <w:rFonts w:asciiTheme="minorHAnsi" w:hAnsiTheme="minorHAnsi" w:cstheme="minorHAnsi"/>
              </w:rPr>
              <w:t>-</w:t>
            </w:r>
            <w:r w:rsidRPr="0059283D">
              <w:rPr>
                <w:rFonts w:asciiTheme="minorHAnsi" w:hAnsiTheme="minorHAnsi" w:cstheme="minorHAnsi"/>
                <w:lang w:val="id-ID"/>
              </w:rPr>
              <w:t>d</w:t>
            </w:r>
            <w:proofErr w:type="spellStart"/>
            <w:r w:rsidRPr="0059283D">
              <w:rPr>
                <w:rFonts w:asciiTheme="minorHAnsi" w:hAnsiTheme="minorHAnsi" w:cstheme="minorHAnsi"/>
              </w:rPr>
              <w:t>asar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r w:rsidRPr="0059283D">
              <w:rPr>
                <w:rFonts w:asciiTheme="minorHAnsi" w:hAnsiTheme="minorHAnsi" w:cstheme="minorHAnsi"/>
                <w:lang w:val="id-ID"/>
              </w:rPr>
              <w:t>a</w:t>
            </w:r>
            <w:proofErr w:type="spellStart"/>
            <w:r w:rsidRPr="0059283D">
              <w:rPr>
                <w:rFonts w:asciiTheme="minorHAnsi" w:hAnsiTheme="minorHAnsi" w:cstheme="minorHAnsi"/>
              </w:rPr>
              <w:t>nalisis</w:t>
            </w:r>
            <w:proofErr w:type="spellEnd"/>
            <w:r w:rsidRPr="0059283D">
              <w:rPr>
                <w:rFonts w:asciiTheme="minorHAnsi" w:hAnsiTheme="minorHAnsi" w:cstheme="minorHAnsi"/>
                <w:lang w:val="id-ID"/>
              </w:rPr>
              <w:t>, p</w:t>
            </w:r>
            <w:proofErr w:type="spellStart"/>
            <w:r w:rsidR="00CA2425">
              <w:rPr>
                <w:rFonts w:asciiTheme="minorHAnsi" w:hAnsiTheme="minorHAnsi" w:cstheme="minorHAnsi"/>
              </w:rPr>
              <w:t>engantar</w:t>
            </w:r>
            <w:proofErr w:type="spellEnd"/>
            <w:r w:rsidR="00CA24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A2425">
              <w:rPr>
                <w:rFonts w:asciiTheme="minorHAnsi" w:hAnsiTheme="minorHAnsi" w:cstheme="minorHAnsi"/>
              </w:rPr>
              <w:t>analisis</w:t>
            </w:r>
            <w:proofErr w:type="spellEnd"/>
            <w:r w:rsidR="00CA24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A2425">
              <w:rPr>
                <w:rFonts w:asciiTheme="minorHAnsi" w:hAnsiTheme="minorHAnsi" w:cstheme="minorHAnsi"/>
              </w:rPr>
              <w:t>laporan</w:t>
            </w:r>
            <w:proofErr w:type="spellEnd"/>
            <w:r w:rsidR="00CA2425">
              <w:rPr>
                <w:rFonts w:asciiTheme="minorHAnsi" w:hAnsiTheme="minorHAnsi" w:cstheme="minorHAnsi"/>
              </w:rPr>
              <w:t xml:space="preserve"> </w:t>
            </w:r>
            <w:r w:rsidR="00CA2425">
              <w:rPr>
                <w:rFonts w:asciiTheme="minorHAnsi" w:hAnsiTheme="minorHAnsi" w:cstheme="minorHAnsi"/>
                <w:lang w:val="id-ID"/>
              </w:rPr>
              <w:t>k</w:t>
            </w:r>
            <w:proofErr w:type="spellStart"/>
            <w:r w:rsidRPr="0059283D">
              <w:rPr>
                <w:rFonts w:asciiTheme="minorHAnsi" w:hAnsiTheme="minorHAnsi" w:cstheme="minorHAnsi"/>
              </w:rPr>
              <w:t>euangan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9E24CD" w:rsidRPr="00633478" w:rsidRDefault="009E24CD" w:rsidP="0014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</w:t>
            </w:r>
            <w:r w:rsidRPr="0059283D">
              <w:rPr>
                <w:rFonts w:asciiTheme="minorHAnsi" w:hAnsiTheme="minorHAnsi" w:cstheme="minorHAnsi"/>
                <w:lang w:val="id-ID"/>
              </w:rPr>
              <w:t>7),</w:t>
            </w:r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Arfan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>,</w:t>
            </w:r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Lili</w:t>
            </w:r>
            <w:proofErr w:type="spellEnd"/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Kemala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(2018)</w:t>
            </w:r>
            <w:r w:rsidR="00633478">
              <w:rPr>
                <w:rFonts w:asciiTheme="minorHAnsi" w:hAnsiTheme="minorHAnsi" w:cstheme="minorHAnsi"/>
                <w:lang w:val="id-ID"/>
              </w:rPr>
              <w:t xml:space="preserve">, </w:t>
            </w:r>
            <w:proofErr w:type="spellStart"/>
            <w:r w:rsidR="00633478" w:rsidRPr="005E576B">
              <w:t>Jumingan</w:t>
            </w:r>
            <w:proofErr w:type="spellEnd"/>
            <w:r w:rsidR="00633478">
              <w:t>, (2014)</w:t>
            </w:r>
            <w:r w:rsidR="00633478">
              <w:rPr>
                <w:lang w:val="id-ID"/>
              </w:rPr>
              <w:t>,</w:t>
            </w:r>
            <w:r w:rsidR="00633478">
              <w:t xml:space="preserve"> </w:t>
            </w:r>
            <w:proofErr w:type="spellStart"/>
            <w:r w:rsidR="00633478">
              <w:t>Munawir</w:t>
            </w:r>
            <w:proofErr w:type="spellEnd"/>
            <w:r w:rsidR="00633478">
              <w:t>, (2010)</w:t>
            </w:r>
          </w:p>
        </w:tc>
      </w:tr>
      <w:tr w:rsidR="0059283D" w:rsidRPr="0059283D" w:rsidTr="009E24CD">
        <w:tc>
          <w:tcPr>
            <w:tcW w:w="1509" w:type="dxa"/>
            <w:shd w:val="clear" w:color="auto" w:fill="auto"/>
          </w:tcPr>
          <w:p w:rsidR="0059283D" w:rsidRP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</w:rPr>
              <w:t>II</w:t>
            </w:r>
            <w:r>
              <w:rPr>
                <w:rFonts w:asciiTheme="minorHAnsi" w:hAnsiTheme="minorHAnsi" w:cstheme="minorHAnsi"/>
                <w:b/>
                <w:lang w:val="id-ID"/>
              </w:rPr>
              <w:t>I &amp; IV</w:t>
            </w:r>
          </w:p>
          <w:p w:rsid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59283D">
              <w:rPr>
                <w:rFonts w:asciiTheme="minorHAnsi" w:hAnsiTheme="minorHAnsi" w:cstheme="minorHAnsi"/>
                <w:lang w:val="id-ID"/>
              </w:rPr>
              <w:t>17 September</w:t>
            </w:r>
          </w:p>
          <w:p w:rsid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59283D" w:rsidRP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24 September</w:t>
            </w:r>
          </w:p>
          <w:p w:rsidR="0059283D" w:rsidRPr="0059283D" w:rsidRDefault="0059283D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7103" w:type="dxa"/>
            <w:shd w:val="clear" w:color="auto" w:fill="auto"/>
          </w:tcPr>
          <w:p w:rsidR="0059283D" w:rsidRPr="00147207" w:rsidRDefault="0059283D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Lingkungan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pelaporan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keuangan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 s</w:t>
            </w:r>
            <w:proofErr w:type="spellStart"/>
            <w:r w:rsidRPr="00147207">
              <w:rPr>
                <w:rFonts w:asciiTheme="minorHAnsi" w:hAnsiTheme="minorHAnsi" w:cstheme="minorHAnsi"/>
              </w:rPr>
              <w:t>ifat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tujuan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pelaporan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akuntansi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</w:t>
            </w:r>
            <w:r w:rsidRPr="00147207">
              <w:rPr>
                <w:rFonts w:asciiTheme="minorHAnsi" w:hAnsiTheme="minorHAnsi" w:cstheme="minorHAnsi"/>
              </w:rPr>
              <w:t xml:space="preserve"> </w:t>
            </w:r>
            <w:r w:rsidRPr="00147207">
              <w:rPr>
                <w:rFonts w:asciiTheme="minorHAnsi" w:hAnsiTheme="minorHAnsi" w:cstheme="minorHAnsi"/>
                <w:lang w:val="id-ID"/>
              </w:rPr>
              <w:t>a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kuntansi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akrual</w:t>
            </w:r>
            <w:proofErr w:type="spellEnd"/>
            <w:r w:rsidRPr="00147207">
              <w:rPr>
                <w:rFonts w:asciiTheme="minorHAnsi" w:hAnsiTheme="minorHAnsi" w:cstheme="minorHAnsi"/>
              </w:rPr>
              <w:t>,</w:t>
            </w:r>
            <w:r w:rsidR="004C1D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1D62">
              <w:rPr>
                <w:rFonts w:asciiTheme="minorHAnsi" w:hAnsiTheme="minorHAnsi" w:cstheme="minorHAnsi"/>
              </w:rPr>
              <w:t>konsep</w:t>
            </w:r>
            <w:proofErr w:type="spellEnd"/>
            <w:r w:rsidR="004C1D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C1D62">
              <w:rPr>
                <w:rFonts w:asciiTheme="minorHAnsi" w:hAnsiTheme="minorHAnsi" w:cstheme="minorHAnsi"/>
              </w:rPr>
              <w:t>laba</w:t>
            </w:r>
            <w:proofErr w:type="spellEnd"/>
            <w:r w:rsidR="004C1D62">
              <w:rPr>
                <w:rFonts w:asciiTheme="minorHAnsi" w:hAnsiTheme="minorHAnsi" w:cstheme="minorHAnsi"/>
                <w:lang w:val="id-ID"/>
              </w:rPr>
              <w:t xml:space="preserve"> serta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analisisnya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59283D" w:rsidRPr="00F108A4" w:rsidRDefault="0059283D" w:rsidP="0014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 w:rsidRPr="0059283D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</w:t>
            </w:r>
            <w:r w:rsidRPr="0059283D">
              <w:rPr>
                <w:rFonts w:asciiTheme="minorHAnsi" w:hAnsiTheme="minorHAnsi" w:cstheme="minorHAnsi"/>
                <w:lang w:val="id-ID"/>
              </w:rPr>
              <w:t>7),</w:t>
            </w:r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Arfan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>,</w:t>
            </w:r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Lili</w:t>
            </w:r>
            <w:proofErr w:type="spellEnd"/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Kemala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(2018)</w:t>
            </w:r>
            <w:r w:rsidR="00F108A4">
              <w:rPr>
                <w:rFonts w:asciiTheme="minorHAnsi" w:hAnsiTheme="minorHAnsi" w:cstheme="minorHAnsi"/>
                <w:lang w:val="id-ID"/>
              </w:rPr>
              <w:t>,</w:t>
            </w:r>
            <w:r w:rsidR="00F108A4" w:rsidRPr="005E576B">
              <w:t xml:space="preserve"> </w:t>
            </w:r>
            <w:proofErr w:type="spellStart"/>
            <w:r w:rsidR="00F108A4" w:rsidRPr="005E576B">
              <w:t>Jumingan</w:t>
            </w:r>
            <w:proofErr w:type="spellEnd"/>
            <w:r w:rsidR="00F108A4">
              <w:t>, (2014)</w:t>
            </w:r>
            <w:r w:rsidR="00F108A4">
              <w:rPr>
                <w:lang w:val="id-ID"/>
              </w:rPr>
              <w:t>,</w:t>
            </w:r>
            <w:r w:rsidR="00F108A4">
              <w:t xml:space="preserve"> </w:t>
            </w:r>
            <w:proofErr w:type="spellStart"/>
            <w:r w:rsidR="00F108A4">
              <w:t>Munawir</w:t>
            </w:r>
            <w:proofErr w:type="spellEnd"/>
            <w:r w:rsidR="00F108A4">
              <w:t>, (2010)</w:t>
            </w:r>
          </w:p>
        </w:tc>
      </w:tr>
      <w:tr w:rsidR="00B1519E" w:rsidRPr="0059283D" w:rsidTr="009E24CD">
        <w:tc>
          <w:tcPr>
            <w:tcW w:w="1509" w:type="dxa"/>
            <w:shd w:val="clear" w:color="auto" w:fill="auto"/>
          </w:tcPr>
          <w:p w:rsidR="00B1519E" w:rsidRPr="0059283D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  <w:lang w:val="id-ID"/>
              </w:rPr>
              <w:t>V &amp; VI</w:t>
            </w:r>
          </w:p>
          <w:p w:rsidR="00B1519E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 Oktober</w:t>
            </w:r>
          </w:p>
          <w:p w:rsidR="00B1519E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B1519E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8 Oktober</w:t>
            </w:r>
          </w:p>
          <w:p w:rsidR="00B1519E" w:rsidRPr="0059283D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7103" w:type="dxa"/>
            <w:shd w:val="clear" w:color="auto" w:fill="auto"/>
          </w:tcPr>
          <w:p w:rsidR="00B1519E" w:rsidRPr="00147207" w:rsidRDefault="00B1519E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Akuntansi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penilaian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wajar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 m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anajemen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laba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kualitas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laba</w:t>
            </w:r>
            <w:proofErr w:type="spellEnd"/>
            <w:r w:rsidR="00B86FF1" w:rsidRPr="00147207">
              <w:rPr>
                <w:rFonts w:asciiTheme="minorHAnsi" w:hAnsiTheme="minorHAnsi" w:cstheme="minorHAnsi"/>
              </w:rPr>
              <w:t xml:space="preserve"> </w:t>
            </w:r>
            <w:r w:rsidR="001A7E88">
              <w:rPr>
                <w:rFonts w:asciiTheme="minorHAnsi" w:hAnsiTheme="minorHAnsi" w:cstheme="minorHAnsi"/>
                <w:lang w:val="id-ID"/>
              </w:rPr>
              <w:t xml:space="preserve">serta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analisisnya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B1519E" w:rsidRPr="00147207" w:rsidRDefault="00B1519E" w:rsidP="0014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Bambang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Hermanto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Mulyo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Agung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47207">
              <w:rPr>
                <w:rFonts w:asciiTheme="minorHAnsi" w:hAnsiTheme="minorHAnsi" w:cstheme="minorHAnsi"/>
              </w:rPr>
              <w:t>(2015)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</w:t>
            </w:r>
            <w:r w:rsidRPr="00147207">
              <w:rPr>
                <w:rFonts w:asciiTheme="minorHAnsi" w:hAnsiTheme="minorHAnsi" w:cstheme="minorHAnsi"/>
                <w:lang w:val="id-ID"/>
              </w:rPr>
              <w:t>7),</w:t>
            </w:r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Arfan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>,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Lili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Kemala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(2018)</w:t>
            </w:r>
          </w:p>
        </w:tc>
      </w:tr>
      <w:tr w:rsidR="00B1519E" w:rsidRPr="0059283D" w:rsidTr="009E24CD">
        <w:tc>
          <w:tcPr>
            <w:tcW w:w="1509" w:type="dxa"/>
            <w:shd w:val="clear" w:color="auto" w:fill="auto"/>
          </w:tcPr>
          <w:p w:rsidR="00B1519E" w:rsidRPr="00B1519E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  <w:lang w:val="id-ID"/>
              </w:rPr>
              <w:t>II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1519E" w:rsidRPr="00B1519E" w:rsidRDefault="00B1519E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15 Oktober</w:t>
            </w:r>
          </w:p>
        </w:tc>
        <w:tc>
          <w:tcPr>
            <w:tcW w:w="7103" w:type="dxa"/>
            <w:shd w:val="clear" w:color="auto" w:fill="auto"/>
          </w:tcPr>
          <w:p w:rsidR="00B1519E" w:rsidRPr="00147207" w:rsidRDefault="00B1519E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Aktivitas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pendananaan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dalam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kewajiban</w:t>
            </w:r>
            <w:proofErr w:type="spellEnd"/>
            <w:r w:rsidR="00922EB8" w:rsidRPr="00147207">
              <w:rPr>
                <w:rFonts w:asciiTheme="minorHAnsi" w:hAnsiTheme="minorHAnsi" w:cstheme="minorHAnsi"/>
                <w:lang w:val="id-ID"/>
              </w:rPr>
              <w:t>, s</w:t>
            </w:r>
            <w:proofErr w:type="spellStart"/>
            <w:r w:rsidR="00E3267A">
              <w:rPr>
                <w:rFonts w:asciiTheme="minorHAnsi" w:hAnsiTheme="minorHAnsi" w:cstheme="minorHAnsi"/>
              </w:rPr>
              <w:t>ewa</w:t>
            </w:r>
            <w:proofErr w:type="spellEnd"/>
            <w:r w:rsidR="00E3267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3267A">
              <w:rPr>
                <w:rFonts w:asciiTheme="minorHAnsi" w:hAnsiTheme="minorHAnsi" w:cstheme="minorHAnsi"/>
              </w:rPr>
              <w:t>manfaat</w:t>
            </w:r>
            <w:proofErr w:type="spellEnd"/>
            <w:r w:rsidR="00E326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3267A">
              <w:rPr>
                <w:rFonts w:asciiTheme="minorHAnsi" w:hAnsiTheme="minorHAnsi" w:cstheme="minorHAnsi"/>
              </w:rPr>
              <w:t>pasca</w:t>
            </w:r>
            <w:proofErr w:type="spellEnd"/>
            <w:r w:rsidR="00E326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3267A">
              <w:rPr>
                <w:rFonts w:asciiTheme="minorHAnsi" w:hAnsiTheme="minorHAnsi" w:cstheme="minorHAnsi"/>
              </w:rPr>
              <w:t>pensiun</w:t>
            </w:r>
            <w:proofErr w:type="spellEnd"/>
            <w:r w:rsidR="00E3267A">
              <w:rPr>
                <w:rFonts w:asciiTheme="minorHAnsi" w:hAnsiTheme="minorHAnsi" w:cstheme="minorHAnsi"/>
              </w:rPr>
              <w:t xml:space="preserve"> </w:t>
            </w:r>
            <w:r w:rsidR="00E3267A">
              <w:rPr>
                <w:rFonts w:asciiTheme="minorHAnsi" w:hAnsiTheme="minorHAnsi" w:cstheme="minorHAnsi"/>
                <w:lang w:val="id-ID"/>
              </w:rPr>
              <w:t>serta</w:t>
            </w:r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analisisnya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B1519E" w:rsidRPr="00147207" w:rsidRDefault="00B1519E" w:rsidP="0014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Bambang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Hermanto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Mulyo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Agung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47207">
              <w:rPr>
                <w:rFonts w:asciiTheme="minorHAnsi" w:hAnsiTheme="minorHAnsi" w:cstheme="minorHAnsi"/>
              </w:rPr>
              <w:t>(2015)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</w:t>
            </w:r>
            <w:r w:rsidRPr="00147207">
              <w:rPr>
                <w:rFonts w:asciiTheme="minorHAnsi" w:hAnsiTheme="minorHAnsi" w:cstheme="minorHAnsi"/>
                <w:lang w:val="id-ID"/>
              </w:rPr>
              <w:t>7),</w:t>
            </w:r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Arfan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>,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Lili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Kemala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(2018)</w:t>
            </w:r>
          </w:p>
        </w:tc>
      </w:tr>
      <w:tr w:rsidR="00F35B82" w:rsidRPr="0059283D" w:rsidTr="0081563D">
        <w:tc>
          <w:tcPr>
            <w:tcW w:w="1509" w:type="dxa"/>
            <w:shd w:val="clear" w:color="auto" w:fill="auto"/>
          </w:tcPr>
          <w:p w:rsidR="00F35B82" w:rsidRPr="00F35B82" w:rsidRDefault="00F35B82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>
              <w:rPr>
                <w:rFonts w:asciiTheme="minorHAnsi" w:hAnsiTheme="minorHAnsi" w:cstheme="minorHAnsi"/>
                <w:b/>
              </w:rPr>
              <w:t>VI</w:t>
            </w:r>
            <w:r>
              <w:rPr>
                <w:rFonts w:asciiTheme="minorHAnsi" w:hAnsiTheme="minorHAnsi" w:cstheme="minorHAnsi"/>
                <w:b/>
                <w:lang w:val="id-ID"/>
              </w:rPr>
              <w:t>II</w:t>
            </w:r>
          </w:p>
          <w:p w:rsidR="00F35B82" w:rsidRPr="00F35B82" w:rsidRDefault="00F35B82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22 Oktober</w:t>
            </w:r>
          </w:p>
        </w:tc>
        <w:tc>
          <w:tcPr>
            <w:tcW w:w="9280" w:type="dxa"/>
            <w:gridSpan w:val="2"/>
            <w:shd w:val="clear" w:color="auto" w:fill="auto"/>
          </w:tcPr>
          <w:p w:rsidR="00F35B82" w:rsidRPr="0059283D" w:rsidRDefault="00F35B82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  <w:w w:val="104"/>
                <w:lang w:val="id-ID"/>
              </w:rPr>
              <w:t>E</w:t>
            </w:r>
            <w:r w:rsidRPr="00F35B82">
              <w:rPr>
                <w:rFonts w:asciiTheme="minorHAnsi" w:hAnsiTheme="minorHAnsi" w:cstheme="minorHAnsi"/>
                <w:b/>
                <w:bCs/>
                <w:spacing w:val="1"/>
                <w:w w:val="104"/>
                <w:lang w:val="id-ID"/>
              </w:rPr>
              <w:t>VALUASI TENGAH SEMESTER / MID TEST</w:t>
            </w:r>
          </w:p>
        </w:tc>
      </w:tr>
      <w:tr w:rsidR="00B86FF1" w:rsidRPr="0059283D" w:rsidTr="009E24CD">
        <w:tc>
          <w:tcPr>
            <w:tcW w:w="1509" w:type="dxa"/>
            <w:shd w:val="clear" w:color="auto" w:fill="auto"/>
          </w:tcPr>
          <w:p w:rsidR="00B86FF1" w:rsidRPr="0059283D" w:rsidRDefault="00B86FF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59283D">
              <w:rPr>
                <w:rFonts w:asciiTheme="minorHAnsi" w:hAnsiTheme="minorHAnsi" w:cstheme="minorHAnsi"/>
                <w:b/>
              </w:rPr>
              <w:t>IX</w:t>
            </w:r>
          </w:p>
          <w:p w:rsidR="00B86FF1" w:rsidRPr="00B86FF1" w:rsidRDefault="00B86FF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5 November</w:t>
            </w:r>
          </w:p>
        </w:tc>
        <w:tc>
          <w:tcPr>
            <w:tcW w:w="7103" w:type="dxa"/>
            <w:shd w:val="clear" w:color="auto" w:fill="auto"/>
          </w:tcPr>
          <w:p w:rsidR="00B86FF1" w:rsidRPr="00147207" w:rsidRDefault="00B86FF1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147207">
              <w:rPr>
                <w:rFonts w:asciiTheme="minorHAnsi" w:hAnsiTheme="minorHAnsi" w:cstheme="minorHAnsi"/>
                <w:lang w:val="id-ID"/>
              </w:rPr>
              <w:t>P</w:t>
            </w:r>
            <w:proofErr w:type="spellStart"/>
            <w:r w:rsidRPr="00147207">
              <w:rPr>
                <w:rFonts w:asciiTheme="minorHAnsi" w:hAnsiTheme="minorHAnsi" w:cstheme="minorHAnsi"/>
              </w:rPr>
              <w:t>endanaan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luar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neraca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 e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kuitas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12CF">
              <w:rPr>
                <w:rFonts w:asciiTheme="minorHAnsi" w:hAnsiTheme="minorHAnsi" w:cstheme="minorHAnsi"/>
              </w:rPr>
              <w:t>pemegang</w:t>
            </w:r>
            <w:proofErr w:type="spellEnd"/>
            <w:r w:rsidR="009C12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C12CF">
              <w:rPr>
                <w:rFonts w:asciiTheme="minorHAnsi" w:hAnsiTheme="minorHAnsi" w:cstheme="minorHAnsi"/>
              </w:rPr>
              <w:t>saham</w:t>
            </w:r>
            <w:proofErr w:type="spellEnd"/>
            <w:r w:rsidR="009C12CF">
              <w:rPr>
                <w:rFonts w:asciiTheme="minorHAnsi" w:hAnsiTheme="minorHAnsi" w:cstheme="minorHAnsi"/>
              </w:rPr>
              <w:t xml:space="preserve"> </w:t>
            </w:r>
            <w:r w:rsidR="009C12CF">
              <w:rPr>
                <w:rFonts w:asciiTheme="minorHAnsi" w:hAnsiTheme="minorHAnsi" w:cstheme="minorHAnsi"/>
                <w:lang w:val="id-ID"/>
              </w:rPr>
              <w:t xml:space="preserve">serta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analisisnya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B86FF1" w:rsidRDefault="00B86FF1" w:rsidP="00147207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(2017)</w:t>
            </w:r>
            <w:r w:rsidRPr="00147207">
              <w:rPr>
                <w:rFonts w:asciiTheme="minorHAnsi" w:hAnsiTheme="minorHAnsi" w:cstheme="minorHAnsi"/>
                <w:lang w:val="id-ID"/>
              </w:rPr>
              <w:t>,</w:t>
            </w:r>
            <w:proofErr w:type="spellStart"/>
            <w:r w:rsidRPr="00147207">
              <w:rPr>
                <w:rFonts w:asciiTheme="minorHAnsi" w:hAnsiTheme="minorHAnsi" w:cstheme="minorHAnsi"/>
              </w:rPr>
              <w:t>Munawir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(2010)</w:t>
            </w:r>
            <w:r w:rsidR="00AD2CEF" w:rsidRPr="00147207">
              <w:rPr>
                <w:rFonts w:asciiTheme="minorHAnsi" w:hAnsiTheme="minorHAnsi" w:cstheme="minorHAnsi"/>
                <w:lang w:val="id-ID"/>
              </w:rPr>
              <w:t xml:space="preserve">,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Arfan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Ikhsan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>,</w:t>
            </w:r>
            <w:r w:rsidR="00AD2CEF"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Lili</w:t>
            </w:r>
            <w:proofErr w:type="spellEnd"/>
            <w:r w:rsidR="00AD2CEF"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Safrida,Putri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Kemala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Dewi,Ikhsan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CEF" w:rsidRPr="00147207">
              <w:rPr>
                <w:rFonts w:asciiTheme="minorHAnsi" w:hAnsiTheme="minorHAnsi" w:cstheme="minorHAnsi"/>
              </w:rPr>
              <w:t>Dalimunthe</w:t>
            </w:r>
            <w:proofErr w:type="spellEnd"/>
            <w:r w:rsidR="00AD2CEF" w:rsidRPr="00147207">
              <w:rPr>
                <w:rFonts w:asciiTheme="minorHAnsi" w:hAnsiTheme="minorHAnsi" w:cstheme="minorHAnsi"/>
              </w:rPr>
              <w:t>, (2018)</w:t>
            </w:r>
          </w:p>
          <w:p w:rsidR="00FF00A9" w:rsidRDefault="00FF00A9" w:rsidP="00147207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FF00A9" w:rsidRPr="00FF00A9" w:rsidRDefault="00FF00A9" w:rsidP="00147207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FA6E41" w:rsidRPr="0059283D" w:rsidTr="009E24CD">
        <w:tc>
          <w:tcPr>
            <w:tcW w:w="1509" w:type="dxa"/>
            <w:shd w:val="clear" w:color="auto" w:fill="auto"/>
          </w:tcPr>
          <w:p w:rsidR="00FA6E41" w:rsidRPr="00AD2CEF" w:rsidRDefault="00FA6E4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</w:rPr>
              <w:lastRenderedPageBreak/>
              <w:t>X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&amp; XI</w:t>
            </w:r>
          </w:p>
          <w:p w:rsidR="00FA6E41" w:rsidRDefault="00FA6E4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12 November</w:t>
            </w:r>
          </w:p>
          <w:p w:rsidR="00FA6E41" w:rsidRDefault="00FA6E4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FA6E41" w:rsidRPr="00AD2CEF" w:rsidRDefault="00FA6E41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19 November</w:t>
            </w:r>
          </w:p>
        </w:tc>
        <w:tc>
          <w:tcPr>
            <w:tcW w:w="7103" w:type="dxa"/>
            <w:shd w:val="clear" w:color="auto" w:fill="auto"/>
          </w:tcPr>
          <w:p w:rsidR="00FA6E41" w:rsidRPr="00147207" w:rsidRDefault="00FA6E41" w:rsidP="00147207">
            <w:pPr>
              <w:spacing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r w:rsidRPr="00147207">
              <w:rPr>
                <w:rFonts w:asciiTheme="minorHAnsi" w:hAnsiTheme="minorHAnsi" w:cstheme="minorHAnsi"/>
                <w:lang w:val="id-ID"/>
              </w:rPr>
              <w:t>P</w:t>
            </w:r>
            <w:proofErr w:type="spellStart"/>
            <w:r w:rsidR="00FF00A9">
              <w:rPr>
                <w:rFonts w:asciiTheme="minorHAnsi" w:hAnsiTheme="minorHAnsi" w:cstheme="minorHAnsi"/>
              </w:rPr>
              <w:t>engenalan</w:t>
            </w:r>
            <w:proofErr w:type="spellEnd"/>
            <w:r w:rsidR="00FF00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0A9">
              <w:rPr>
                <w:rFonts w:asciiTheme="minorHAnsi" w:hAnsiTheme="minorHAnsi" w:cstheme="minorHAnsi"/>
              </w:rPr>
              <w:t>aset</w:t>
            </w:r>
            <w:proofErr w:type="spellEnd"/>
            <w:r w:rsidR="00FF00A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F00A9">
              <w:rPr>
                <w:rFonts w:asciiTheme="minorHAnsi" w:hAnsiTheme="minorHAnsi" w:cstheme="minorHAnsi"/>
              </w:rPr>
              <w:t>lanc</w:t>
            </w:r>
            <w:proofErr w:type="spellEnd"/>
            <w:r w:rsidR="00FF00A9">
              <w:rPr>
                <w:rFonts w:asciiTheme="minorHAnsi" w:hAnsiTheme="minorHAnsi" w:cstheme="minorHAnsi"/>
                <w:lang w:val="id-ID"/>
              </w:rPr>
              <w:t>a</w:t>
            </w:r>
            <w:r w:rsidRPr="00147207">
              <w:rPr>
                <w:rFonts w:asciiTheme="minorHAnsi" w:hAnsiTheme="minorHAnsi" w:cstheme="minorHAnsi"/>
              </w:rPr>
              <w:t>r</w:t>
            </w:r>
            <w:r w:rsidRPr="00147207">
              <w:rPr>
                <w:rFonts w:asciiTheme="minorHAnsi" w:hAnsiTheme="minorHAnsi" w:cstheme="minorHAnsi"/>
                <w:lang w:val="id-ID"/>
              </w:rPr>
              <w:t>, p</w:t>
            </w:r>
            <w:proofErr w:type="spellStart"/>
            <w:r w:rsidRPr="00147207">
              <w:rPr>
                <w:rFonts w:asciiTheme="minorHAnsi" w:hAnsiTheme="minorHAnsi" w:cstheme="minorHAnsi"/>
              </w:rPr>
              <w:t>ersediaan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 a</w:t>
            </w:r>
            <w:r w:rsidRPr="00147207">
              <w:rPr>
                <w:rFonts w:asciiTheme="minorHAnsi" w:hAnsiTheme="minorHAnsi" w:cstheme="minorHAnsi"/>
              </w:rPr>
              <w:t xml:space="preserve">set </w:t>
            </w:r>
            <w:proofErr w:type="spellStart"/>
            <w:r w:rsidRPr="00147207">
              <w:rPr>
                <w:rFonts w:asciiTheme="minorHAnsi" w:hAnsiTheme="minorHAnsi" w:cstheme="minorHAnsi"/>
              </w:rPr>
              <w:t>jangka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panjang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>, a</w:t>
            </w:r>
            <w:r w:rsidRPr="00147207">
              <w:rPr>
                <w:rFonts w:asciiTheme="minorHAnsi" w:hAnsiTheme="minorHAnsi" w:cstheme="minorHAnsi"/>
              </w:rPr>
              <w:t xml:space="preserve">set </w:t>
            </w:r>
            <w:proofErr w:type="spellStart"/>
            <w:r w:rsidRPr="00147207">
              <w:rPr>
                <w:rFonts w:asciiTheme="minorHAnsi" w:hAnsiTheme="minorHAnsi" w:cstheme="minorHAnsi"/>
              </w:rPr>
              <w:t>tetap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sumber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daya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alam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serta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analisisnya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FA6E41" w:rsidRPr="00147207" w:rsidRDefault="00FA6E41" w:rsidP="00147207">
            <w:pPr>
              <w:tabs>
                <w:tab w:val="left" w:pos="3060"/>
                <w:tab w:val="left" w:pos="34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(2017)</w:t>
            </w:r>
            <w:r w:rsidRPr="00147207">
              <w:rPr>
                <w:rFonts w:asciiTheme="minorHAnsi" w:hAnsiTheme="minorHAnsi" w:cstheme="minorHAnsi"/>
                <w:lang w:val="id-ID"/>
              </w:rPr>
              <w:t>,</w:t>
            </w:r>
            <w:proofErr w:type="spellStart"/>
            <w:r w:rsidRPr="00147207">
              <w:rPr>
                <w:rFonts w:asciiTheme="minorHAnsi" w:hAnsiTheme="minorHAnsi" w:cstheme="minorHAnsi"/>
              </w:rPr>
              <w:t>Munawir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(2010)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Arfan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>,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Lili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Kemala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(2018)</w:t>
            </w:r>
          </w:p>
        </w:tc>
      </w:tr>
      <w:tr w:rsidR="00804548" w:rsidRPr="0059283D" w:rsidTr="009E24CD">
        <w:trPr>
          <w:trHeight w:val="313"/>
        </w:trPr>
        <w:tc>
          <w:tcPr>
            <w:tcW w:w="1509" w:type="dxa"/>
            <w:shd w:val="clear" w:color="auto" w:fill="auto"/>
          </w:tcPr>
          <w:p w:rsidR="00804548" w:rsidRDefault="00804548" w:rsidP="008045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59283D">
              <w:rPr>
                <w:rFonts w:asciiTheme="minorHAnsi" w:hAnsiTheme="minorHAnsi" w:cstheme="minorHAnsi"/>
                <w:b/>
              </w:rPr>
              <w:t>XI</w:t>
            </w:r>
            <w:r>
              <w:rPr>
                <w:rFonts w:asciiTheme="minorHAnsi" w:hAnsiTheme="minorHAnsi" w:cstheme="minorHAnsi"/>
                <w:b/>
                <w:lang w:val="id-ID"/>
              </w:rPr>
              <w:t>I &amp; XIII</w:t>
            </w:r>
          </w:p>
          <w:p w:rsidR="00804548" w:rsidRDefault="00804548" w:rsidP="0080454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26 November</w:t>
            </w:r>
          </w:p>
          <w:p w:rsidR="00804548" w:rsidRDefault="00804548" w:rsidP="0080454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804548" w:rsidRDefault="00804548" w:rsidP="0080454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3 Desember</w:t>
            </w:r>
          </w:p>
          <w:p w:rsidR="00804548" w:rsidRPr="00FA6E41" w:rsidRDefault="00804548" w:rsidP="008045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</w:p>
        </w:tc>
        <w:tc>
          <w:tcPr>
            <w:tcW w:w="7103" w:type="dxa"/>
            <w:shd w:val="clear" w:color="auto" w:fill="auto"/>
          </w:tcPr>
          <w:p w:rsidR="00804548" w:rsidRPr="00DA1651" w:rsidRDefault="00804548" w:rsidP="00804548">
            <w:pPr>
              <w:spacing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Sekuritas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investasi</w:t>
            </w:r>
            <w:proofErr w:type="spellEnd"/>
            <w:r>
              <w:rPr>
                <w:rFonts w:cs="Calibri"/>
                <w:lang w:val="id-ID"/>
              </w:rPr>
              <w:t>, a</w:t>
            </w:r>
            <w:proofErr w:type="spellStart"/>
            <w:r>
              <w:rPr>
                <w:rFonts w:cs="Calibri"/>
              </w:rPr>
              <w:t>kuntansi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ekuitas</w:t>
            </w:r>
            <w:proofErr w:type="spellEnd"/>
            <w:r>
              <w:rPr>
                <w:rFonts w:cs="Calibri"/>
                <w:lang w:val="id-ID"/>
              </w:rPr>
              <w:t>, p</w:t>
            </w:r>
            <w:proofErr w:type="spellStart"/>
            <w:r>
              <w:rPr>
                <w:rFonts w:cs="Calibri"/>
              </w:rPr>
              <w:t>enggabungan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usaha</w:t>
            </w:r>
            <w:proofErr w:type="spellEnd"/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id-ID"/>
              </w:rPr>
              <w:t xml:space="preserve">dan </w:t>
            </w:r>
            <w:proofErr w:type="spellStart"/>
            <w:r w:rsidR="007F539A">
              <w:rPr>
                <w:rFonts w:cs="Calibri"/>
              </w:rPr>
              <w:t>sekuritas</w:t>
            </w:r>
            <w:proofErr w:type="spellEnd"/>
            <w:r w:rsidR="007F539A">
              <w:rPr>
                <w:rFonts w:cs="Calibri"/>
              </w:rPr>
              <w:t xml:space="preserve"> </w:t>
            </w:r>
            <w:proofErr w:type="spellStart"/>
            <w:r w:rsidR="007F539A">
              <w:rPr>
                <w:rFonts w:cs="Calibri"/>
              </w:rPr>
              <w:t>derivati</w:t>
            </w:r>
            <w:proofErr w:type="spellEnd"/>
            <w:r w:rsidR="007F539A">
              <w:rPr>
                <w:rFonts w:cs="Calibri"/>
                <w:lang w:val="id-ID"/>
              </w:rPr>
              <w:t>f</w:t>
            </w:r>
            <w:r>
              <w:rPr>
                <w:rFonts w:cs="Calibri"/>
                <w:lang w:val="id-ID"/>
              </w:rPr>
              <w:t xml:space="preserve"> serta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analisisnya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804548" w:rsidRPr="00804548" w:rsidRDefault="00804548" w:rsidP="0027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>
              <w:t>Bambang</w:t>
            </w:r>
            <w:proofErr w:type="spellEnd"/>
            <w:r>
              <w:t xml:space="preserve"> </w:t>
            </w:r>
            <w:proofErr w:type="spellStart"/>
            <w:r>
              <w:t>Hermanto</w:t>
            </w:r>
            <w:proofErr w:type="spellEnd"/>
            <w:r>
              <w:t xml:space="preserve">, </w:t>
            </w:r>
            <w:proofErr w:type="spellStart"/>
            <w:r>
              <w:t>Mulyo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Agung</w:t>
            </w:r>
            <w:proofErr w:type="spellEnd"/>
            <w:r>
              <w:rPr>
                <w:lang w:val="id-ID"/>
              </w:rPr>
              <w:t xml:space="preserve"> </w:t>
            </w:r>
            <w:r>
              <w:t>(2015)</w:t>
            </w:r>
            <w:r>
              <w:rPr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</w:t>
            </w:r>
            <w:r w:rsidRPr="0059283D">
              <w:rPr>
                <w:rFonts w:asciiTheme="minorHAnsi" w:hAnsiTheme="minorHAnsi" w:cstheme="minorHAnsi"/>
                <w:lang w:val="id-ID"/>
              </w:rPr>
              <w:t>7),</w:t>
            </w:r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Arfan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>,</w:t>
            </w:r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Lili</w:t>
            </w:r>
            <w:proofErr w:type="spellEnd"/>
            <w:r w:rsidRPr="0059283D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Kemala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59283D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592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283D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59283D">
              <w:rPr>
                <w:rFonts w:asciiTheme="minorHAnsi" w:hAnsiTheme="minorHAnsi" w:cstheme="minorHAnsi"/>
              </w:rPr>
              <w:t>, (2018)</w:t>
            </w:r>
            <w:r>
              <w:rPr>
                <w:rFonts w:asciiTheme="minorHAnsi" w:hAnsiTheme="minorHAnsi" w:cstheme="minorHAnsi"/>
                <w:lang w:val="id-ID"/>
              </w:rPr>
              <w:t xml:space="preserve">, </w:t>
            </w:r>
            <w:proofErr w:type="spellStart"/>
            <w:r w:rsidRPr="005E576B">
              <w:t>Jumingan</w:t>
            </w:r>
            <w:proofErr w:type="spellEnd"/>
            <w:r>
              <w:t>, (2014)</w:t>
            </w:r>
          </w:p>
        </w:tc>
      </w:tr>
      <w:tr w:rsidR="00147207" w:rsidRPr="0059283D" w:rsidTr="009E24CD">
        <w:trPr>
          <w:trHeight w:val="313"/>
        </w:trPr>
        <w:tc>
          <w:tcPr>
            <w:tcW w:w="1509" w:type="dxa"/>
            <w:shd w:val="clear" w:color="auto" w:fill="auto"/>
          </w:tcPr>
          <w:p w:rsidR="00147207" w:rsidRPr="0059283D" w:rsidRDefault="00147207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XIV</w:t>
            </w:r>
            <w:r>
              <w:rPr>
                <w:rFonts w:asciiTheme="minorHAnsi" w:hAnsiTheme="minorHAnsi" w:cstheme="minorHAnsi"/>
                <w:b/>
                <w:lang w:val="id-ID"/>
              </w:rPr>
              <w:t xml:space="preserve"> &amp;</w:t>
            </w:r>
            <w:r w:rsidRPr="0059283D">
              <w:rPr>
                <w:rFonts w:asciiTheme="minorHAnsi" w:hAnsiTheme="minorHAnsi" w:cstheme="minorHAnsi"/>
                <w:b/>
              </w:rPr>
              <w:t xml:space="preserve"> XV</w:t>
            </w:r>
          </w:p>
          <w:p w:rsidR="00147207" w:rsidRDefault="00147207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10 Desember</w:t>
            </w:r>
          </w:p>
          <w:p w:rsidR="00147207" w:rsidRDefault="00147207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dan</w:t>
            </w:r>
          </w:p>
          <w:p w:rsidR="00147207" w:rsidRDefault="00147207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17 Desember</w:t>
            </w:r>
          </w:p>
          <w:p w:rsidR="00147207" w:rsidRPr="00804548" w:rsidRDefault="00147207" w:rsidP="0014720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7103" w:type="dxa"/>
            <w:shd w:val="clear" w:color="auto" w:fill="auto"/>
          </w:tcPr>
          <w:p w:rsidR="00147207" w:rsidRPr="00147207" w:rsidRDefault="00147207" w:rsidP="00147207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Susunan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bangunan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analisis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laporan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keuangan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meliputi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: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a.likuidaitas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jangka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pendek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b.struktur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modal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solvabilitas,perputaran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aset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c.kinerja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operasi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profitabilitas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serta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peramalan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penilaian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147207" w:rsidRPr="00147207" w:rsidRDefault="00147207" w:rsidP="0027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pacing w:val="1"/>
                <w:w w:val="104"/>
                <w:lang w:val="id-ID"/>
              </w:rPr>
            </w:pPr>
            <w:proofErr w:type="spellStart"/>
            <w:r w:rsidRPr="00147207">
              <w:rPr>
                <w:rFonts w:asciiTheme="minorHAnsi" w:hAnsiTheme="minorHAnsi" w:cstheme="minorHAnsi"/>
              </w:rPr>
              <w:t>Bambang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Hermanto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Mulyo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Agung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r w:rsidRPr="00147207">
              <w:rPr>
                <w:rFonts w:asciiTheme="minorHAnsi" w:hAnsiTheme="minorHAnsi" w:cstheme="minorHAnsi"/>
              </w:rPr>
              <w:t>(2015)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K.R.Subramanyam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</w:t>
            </w:r>
            <w:r w:rsidRPr="00147207">
              <w:rPr>
                <w:rFonts w:asciiTheme="minorHAnsi" w:hAnsiTheme="minorHAnsi" w:cstheme="minorHAnsi"/>
                <w:lang w:val="id-ID"/>
              </w:rPr>
              <w:t>7),</w:t>
            </w:r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Arfan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>,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Lili</w:t>
            </w:r>
            <w:proofErr w:type="spellEnd"/>
            <w:r w:rsidRPr="00147207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Safrida,Putri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Kemala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Dewi,Ikhsan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Abdullah </w:t>
            </w:r>
            <w:proofErr w:type="spellStart"/>
            <w:r w:rsidRPr="00147207">
              <w:rPr>
                <w:rFonts w:asciiTheme="minorHAnsi" w:hAnsiTheme="minorHAnsi" w:cstheme="minorHAnsi"/>
              </w:rPr>
              <w:t>Kusmilawati,Hasbiana</w:t>
            </w:r>
            <w:proofErr w:type="spellEnd"/>
            <w:r w:rsidRPr="001472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47207">
              <w:rPr>
                <w:rFonts w:asciiTheme="minorHAnsi" w:hAnsiTheme="minorHAnsi" w:cstheme="minorHAnsi"/>
              </w:rPr>
              <w:t>Dalimunthe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(2018)</w:t>
            </w:r>
            <w:r w:rsidRPr="00147207">
              <w:rPr>
                <w:rFonts w:asciiTheme="minorHAnsi" w:hAnsiTheme="minorHAnsi" w:cstheme="minorHAnsi"/>
                <w:lang w:val="id-ID"/>
              </w:rPr>
              <w:t xml:space="preserve">, </w:t>
            </w:r>
            <w:proofErr w:type="spellStart"/>
            <w:r w:rsidRPr="00147207">
              <w:rPr>
                <w:rFonts w:asciiTheme="minorHAnsi" w:hAnsiTheme="minorHAnsi" w:cstheme="minorHAnsi"/>
              </w:rPr>
              <w:t>Jumingan</w:t>
            </w:r>
            <w:proofErr w:type="spellEnd"/>
            <w:r w:rsidRPr="00147207">
              <w:rPr>
                <w:rFonts w:asciiTheme="minorHAnsi" w:hAnsiTheme="minorHAnsi" w:cstheme="minorHAnsi"/>
              </w:rPr>
              <w:t>, (2014)</w:t>
            </w:r>
          </w:p>
        </w:tc>
      </w:tr>
      <w:tr w:rsidR="00147207" w:rsidRPr="0059283D" w:rsidTr="007F00F1">
        <w:trPr>
          <w:trHeight w:val="313"/>
        </w:trPr>
        <w:tc>
          <w:tcPr>
            <w:tcW w:w="1509" w:type="dxa"/>
            <w:shd w:val="clear" w:color="auto" w:fill="auto"/>
          </w:tcPr>
          <w:p w:rsidR="00B71266" w:rsidRPr="00B71266" w:rsidRDefault="00B71266" w:rsidP="00035E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B71266">
              <w:rPr>
                <w:rFonts w:asciiTheme="minorHAnsi" w:hAnsiTheme="minorHAnsi" w:cstheme="minorHAnsi"/>
                <w:b/>
                <w:lang w:val="id-ID"/>
              </w:rPr>
              <w:t>XVI</w:t>
            </w:r>
          </w:p>
          <w:p w:rsidR="00147207" w:rsidRPr="00147207" w:rsidRDefault="00147207" w:rsidP="00035E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59283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lang w:val="id-ID"/>
              </w:rPr>
              <w:t>4 Desember</w:t>
            </w:r>
          </w:p>
        </w:tc>
        <w:tc>
          <w:tcPr>
            <w:tcW w:w="9280" w:type="dxa"/>
            <w:gridSpan w:val="2"/>
            <w:shd w:val="clear" w:color="auto" w:fill="auto"/>
          </w:tcPr>
          <w:p w:rsidR="00147207" w:rsidRPr="0059283D" w:rsidRDefault="00147207" w:rsidP="0014720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D7A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d-ID"/>
              </w:rPr>
              <w:t>Evaluasi</w:t>
            </w:r>
            <w:proofErr w:type="spellEnd"/>
            <w:r w:rsidRPr="00CD7A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CD7A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d-ID"/>
              </w:rPr>
              <w:t>Akhir</w:t>
            </w:r>
            <w:proofErr w:type="spellEnd"/>
            <w:r w:rsidRPr="00CD7A4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d-ID"/>
              </w:rPr>
              <w:t xml:space="preserve"> Semester</w:t>
            </w:r>
          </w:p>
        </w:tc>
      </w:tr>
      <w:tr w:rsidR="009A1F64" w:rsidRPr="0059283D" w:rsidTr="009E24CD">
        <w:trPr>
          <w:trHeight w:val="313"/>
        </w:trPr>
        <w:tc>
          <w:tcPr>
            <w:tcW w:w="10789" w:type="dxa"/>
            <w:gridSpan w:val="3"/>
            <w:shd w:val="clear" w:color="auto" w:fill="A6A6A6"/>
          </w:tcPr>
          <w:p w:rsidR="009A1F64" w:rsidRPr="0059283D" w:rsidRDefault="009A1F64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PRASYARAT</w:t>
            </w:r>
          </w:p>
        </w:tc>
      </w:tr>
      <w:tr w:rsidR="009A1F64" w:rsidRPr="0059283D" w:rsidTr="009E24CD">
        <w:trPr>
          <w:trHeight w:val="313"/>
        </w:trPr>
        <w:tc>
          <w:tcPr>
            <w:tcW w:w="10789" w:type="dxa"/>
            <w:gridSpan w:val="3"/>
            <w:shd w:val="clear" w:color="auto" w:fill="FFFFFF"/>
          </w:tcPr>
          <w:p w:rsidR="009A1F64" w:rsidRPr="00147207" w:rsidRDefault="00147207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147207">
              <w:rPr>
                <w:rFonts w:asciiTheme="minorHAnsi" w:hAnsiTheme="minorHAnsi" w:cstheme="minorHAnsi"/>
                <w:lang w:val="id-ID"/>
              </w:rPr>
              <w:t>Akuntansi Menengah I &amp; II</w:t>
            </w:r>
          </w:p>
          <w:p w:rsidR="009A1F64" w:rsidRPr="0059283D" w:rsidRDefault="009A1F64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A1F64" w:rsidRPr="0059283D" w:rsidTr="009E24CD">
        <w:trPr>
          <w:trHeight w:val="313"/>
        </w:trPr>
        <w:tc>
          <w:tcPr>
            <w:tcW w:w="10789" w:type="dxa"/>
            <w:gridSpan w:val="3"/>
            <w:shd w:val="clear" w:color="auto" w:fill="A6A6A6"/>
          </w:tcPr>
          <w:p w:rsidR="009A1F64" w:rsidRPr="0059283D" w:rsidRDefault="009A1F64" w:rsidP="00EC0CD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9283D">
              <w:rPr>
                <w:rFonts w:asciiTheme="minorHAnsi" w:hAnsiTheme="minorHAnsi" w:cstheme="minorHAnsi"/>
                <w:b/>
              </w:rPr>
              <w:t>PUSTAKA/ REFERENSI</w:t>
            </w:r>
          </w:p>
        </w:tc>
      </w:tr>
      <w:tr w:rsidR="00147207" w:rsidRPr="0059283D" w:rsidTr="009E24CD">
        <w:trPr>
          <w:trHeight w:val="313"/>
        </w:trPr>
        <w:tc>
          <w:tcPr>
            <w:tcW w:w="10789" w:type="dxa"/>
            <w:gridSpan w:val="3"/>
            <w:shd w:val="clear" w:color="auto" w:fill="FFFFFF"/>
          </w:tcPr>
          <w:p w:rsidR="00147207" w:rsidRPr="00147207" w:rsidRDefault="00147207" w:rsidP="00147207">
            <w:pPr>
              <w:rPr>
                <w:b/>
                <w:sz w:val="24"/>
                <w:szCs w:val="24"/>
                <w:lang w:val="id-ID"/>
              </w:rPr>
            </w:pPr>
          </w:p>
          <w:p w:rsidR="00147207" w:rsidRPr="00EF7A78" w:rsidRDefault="00147207" w:rsidP="001472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proofErr w:type="spellStart"/>
            <w:r>
              <w:t>K.R.Subramanyam</w:t>
            </w:r>
            <w:proofErr w:type="spellEnd"/>
            <w:r>
              <w:t xml:space="preserve">, </w:t>
            </w:r>
            <w:proofErr w:type="spellStart"/>
            <w:r>
              <w:t>Jhon</w:t>
            </w:r>
            <w:proofErr w:type="spellEnd"/>
            <w:r>
              <w:t xml:space="preserve"> </w:t>
            </w:r>
            <w:proofErr w:type="spellStart"/>
            <w:r>
              <w:t>J.Wild</w:t>
            </w:r>
            <w:proofErr w:type="spellEnd"/>
            <w:r>
              <w:t xml:space="preserve">, (2010),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Edisi</w:t>
            </w:r>
            <w:proofErr w:type="spellEnd"/>
            <w:r>
              <w:t xml:space="preserve"> 10,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Salemba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</w:p>
          <w:p w:rsidR="00147207" w:rsidRPr="001A0238" w:rsidRDefault="00147207" w:rsidP="001472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proofErr w:type="spellStart"/>
            <w:r>
              <w:t>Arfan</w:t>
            </w:r>
            <w:proofErr w:type="spellEnd"/>
            <w:r>
              <w:t xml:space="preserve"> </w:t>
            </w:r>
            <w:proofErr w:type="spellStart"/>
            <w:r>
              <w:t>Ikhsan,Lili</w:t>
            </w:r>
            <w:proofErr w:type="spellEnd"/>
            <w:r>
              <w:t xml:space="preserve"> </w:t>
            </w:r>
            <w:proofErr w:type="spellStart"/>
            <w:r>
              <w:t>Safrida,Putri</w:t>
            </w:r>
            <w:proofErr w:type="spellEnd"/>
            <w:r>
              <w:t xml:space="preserve"> </w:t>
            </w:r>
            <w:proofErr w:type="spellStart"/>
            <w:r>
              <w:t>Kemala</w:t>
            </w:r>
            <w:proofErr w:type="spellEnd"/>
            <w:r>
              <w:t xml:space="preserve"> </w:t>
            </w:r>
            <w:proofErr w:type="spellStart"/>
            <w:r>
              <w:t>Dewi,Ikhsan</w:t>
            </w:r>
            <w:proofErr w:type="spellEnd"/>
            <w:r>
              <w:t xml:space="preserve"> Abdullah </w:t>
            </w:r>
            <w:proofErr w:type="spellStart"/>
            <w:r>
              <w:t>Kusmilawati,Hasbiana</w:t>
            </w:r>
            <w:proofErr w:type="spellEnd"/>
            <w:r>
              <w:t xml:space="preserve"> </w:t>
            </w:r>
            <w:proofErr w:type="spellStart"/>
            <w:r>
              <w:t>Dalimunthe</w:t>
            </w:r>
            <w:proofErr w:type="spellEnd"/>
            <w:r>
              <w:t xml:space="preserve">, (2018),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Edisi</w:t>
            </w:r>
            <w:proofErr w:type="spellEnd"/>
            <w:r>
              <w:t xml:space="preserve"> 2,Penerbit </w:t>
            </w:r>
            <w:proofErr w:type="spellStart"/>
            <w:r>
              <w:t>Madenatera</w:t>
            </w:r>
            <w:proofErr w:type="spellEnd"/>
          </w:p>
          <w:p w:rsidR="00147207" w:rsidRDefault="00147207" w:rsidP="0014720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 w:rsidRPr="005E576B">
              <w:t>Jumingan</w:t>
            </w:r>
            <w:proofErr w:type="spellEnd"/>
            <w:r>
              <w:t xml:space="preserve">, (2014),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Aksara</w:t>
            </w:r>
            <w:proofErr w:type="spellEnd"/>
          </w:p>
          <w:p w:rsidR="00147207" w:rsidRDefault="00147207" w:rsidP="0014720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Munawir</w:t>
            </w:r>
            <w:proofErr w:type="spellEnd"/>
            <w:r>
              <w:t xml:space="preserve">, (2010),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Edisi</w:t>
            </w:r>
            <w:proofErr w:type="spellEnd"/>
            <w:r>
              <w:t xml:space="preserve"> 4, Liberty</w:t>
            </w:r>
          </w:p>
          <w:p w:rsidR="00147207" w:rsidRDefault="00147207" w:rsidP="0014720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K.R.Subramanyam</w:t>
            </w:r>
            <w:proofErr w:type="spellEnd"/>
            <w:r>
              <w:t xml:space="preserve">, (2017),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, </w:t>
            </w:r>
            <w:proofErr w:type="spellStart"/>
            <w:r>
              <w:t>Edisi</w:t>
            </w:r>
            <w:proofErr w:type="spellEnd"/>
            <w:r>
              <w:t xml:space="preserve"> 11,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Salemba</w:t>
            </w:r>
            <w:proofErr w:type="spellEnd"/>
            <w:r>
              <w:t xml:space="preserve"> </w:t>
            </w:r>
            <w:proofErr w:type="spellStart"/>
            <w:r>
              <w:t>Empat</w:t>
            </w:r>
            <w:proofErr w:type="spellEnd"/>
          </w:p>
          <w:p w:rsidR="00147207" w:rsidRPr="000D14EC" w:rsidRDefault="00147207" w:rsidP="000D14E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t>Bambang</w:t>
            </w:r>
            <w:proofErr w:type="spellEnd"/>
            <w:r>
              <w:t xml:space="preserve"> </w:t>
            </w:r>
            <w:proofErr w:type="spellStart"/>
            <w:r>
              <w:t>Hermanto</w:t>
            </w:r>
            <w:proofErr w:type="spellEnd"/>
            <w:r>
              <w:t xml:space="preserve">, </w:t>
            </w:r>
            <w:proofErr w:type="spellStart"/>
            <w:r>
              <w:t>Mulyo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,(2015),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</w:tr>
    </w:tbl>
    <w:p w:rsidR="00727AE7" w:rsidRPr="0059283D" w:rsidRDefault="00727AE7">
      <w:pPr>
        <w:rPr>
          <w:rFonts w:asciiTheme="minorHAnsi" w:hAnsiTheme="minorHAnsi" w:cstheme="minorHAnsi"/>
        </w:rPr>
      </w:pPr>
    </w:p>
    <w:sectPr w:rsidR="00727AE7" w:rsidRPr="0059283D" w:rsidSect="006D6508"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E614D0"/>
    <w:multiLevelType w:val="hybridMultilevel"/>
    <w:tmpl w:val="AA7015EA"/>
    <w:lvl w:ilvl="0" w:tplc="1F44D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2174"/>
    <w:multiLevelType w:val="hybridMultilevel"/>
    <w:tmpl w:val="51CC4F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D2205"/>
    <w:rsid w:val="00015126"/>
    <w:rsid w:val="00035E8E"/>
    <w:rsid w:val="00046F17"/>
    <w:rsid w:val="000512BF"/>
    <w:rsid w:val="00066B60"/>
    <w:rsid w:val="00077772"/>
    <w:rsid w:val="000934D6"/>
    <w:rsid w:val="000B29D0"/>
    <w:rsid w:val="000D14EC"/>
    <w:rsid w:val="00147207"/>
    <w:rsid w:val="001558D7"/>
    <w:rsid w:val="001A01CA"/>
    <w:rsid w:val="001A2A93"/>
    <w:rsid w:val="001A7E88"/>
    <w:rsid w:val="001D3F19"/>
    <w:rsid w:val="001F5104"/>
    <w:rsid w:val="002E3D33"/>
    <w:rsid w:val="00305507"/>
    <w:rsid w:val="00315CCF"/>
    <w:rsid w:val="00361BE1"/>
    <w:rsid w:val="00466A9A"/>
    <w:rsid w:val="004C1D62"/>
    <w:rsid w:val="005206C1"/>
    <w:rsid w:val="00547DD3"/>
    <w:rsid w:val="0059283D"/>
    <w:rsid w:val="005D2205"/>
    <w:rsid w:val="005F5727"/>
    <w:rsid w:val="00601355"/>
    <w:rsid w:val="006076AB"/>
    <w:rsid w:val="00633478"/>
    <w:rsid w:val="006B37CA"/>
    <w:rsid w:val="006D6508"/>
    <w:rsid w:val="00727AE7"/>
    <w:rsid w:val="007E574D"/>
    <w:rsid w:val="007F539A"/>
    <w:rsid w:val="00804548"/>
    <w:rsid w:val="0085601C"/>
    <w:rsid w:val="00876328"/>
    <w:rsid w:val="008C3DED"/>
    <w:rsid w:val="008E5DDB"/>
    <w:rsid w:val="008F5E7C"/>
    <w:rsid w:val="00922EB8"/>
    <w:rsid w:val="00924774"/>
    <w:rsid w:val="009A1F64"/>
    <w:rsid w:val="009C12CF"/>
    <w:rsid w:val="009D2B78"/>
    <w:rsid w:val="009E24CD"/>
    <w:rsid w:val="00A01EFA"/>
    <w:rsid w:val="00A17561"/>
    <w:rsid w:val="00A2686D"/>
    <w:rsid w:val="00A35166"/>
    <w:rsid w:val="00AA3942"/>
    <w:rsid w:val="00AD2CEF"/>
    <w:rsid w:val="00AF3C50"/>
    <w:rsid w:val="00B1519E"/>
    <w:rsid w:val="00B500D9"/>
    <w:rsid w:val="00B52663"/>
    <w:rsid w:val="00B71266"/>
    <w:rsid w:val="00B86FF1"/>
    <w:rsid w:val="00B915E5"/>
    <w:rsid w:val="00B942EA"/>
    <w:rsid w:val="00C51910"/>
    <w:rsid w:val="00CA2425"/>
    <w:rsid w:val="00CC4F7E"/>
    <w:rsid w:val="00D44095"/>
    <w:rsid w:val="00DC73C1"/>
    <w:rsid w:val="00DE3D0C"/>
    <w:rsid w:val="00E3267A"/>
    <w:rsid w:val="00E56242"/>
    <w:rsid w:val="00E61730"/>
    <w:rsid w:val="00E81EB0"/>
    <w:rsid w:val="00EC0CDD"/>
    <w:rsid w:val="00EC3B83"/>
    <w:rsid w:val="00F108A4"/>
    <w:rsid w:val="00F35B82"/>
    <w:rsid w:val="00F4391E"/>
    <w:rsid w:val="00F501B6"/>
    <w:rsid w:val="00F5206F"/>
    <w:rsid w:val="00F643DD"/>
    <w:rsid w:val="00FA6E41"/>
    <w:rsid w:val="00FA7246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113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 C E R</cp:lastModifiedBy>
  <cp:revision>30</cp:revision>
  <dcterms:created xsi:type="dcterms:W3CDTF">2018-09-17T10:38:00Z</dcterms:created>
  <dcterms:modified xsi:type="dcterms:W3CDTF">2018-09-28T15:35:00Z</dcterms:modified>
</cp:coreProperties>
</file>